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AF" w:rsidRPr="003E5203" w:rsidRDefault="00E460AF" w:rsidP="00E460AF">
      <w:pPr>
        <w:pStyle w:val="2"/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bookmarkStart w:id="0" w:name="_Toc213222202"/>
      <w:r w:rsidRPr="003E5203">
        <w:rPr>
          <w:rFonts w:ascii="Times New Roman" w:hAnsi="Times New Roman" w:cs="Times New Roman"/>
          <w:i w:val="0"/>
          <w:u w:val="single"/>
        </w:rPr>
        <w:t>Оценка потребности в услугах муниципальных учреждений культуры</w:t>
      </w:r>
      <w:bookmarkEnd w:id="0"/>
      <w:r w:rsidR="003E5203" w:rsidRPr="003E5203">
        <w:rPr>
          <w:rFonts w:ascii="Times New Roman" w:hAnsi="Times New Roman" w:cs="Times New Roman"/>
          <w:i w:val="0"/>
          <w:u w:val="single"/>
        </w:rPr>
        <w:t xml:space="preserve"> </w:t>
      </w:r>
    </w:p>
    <w:p w:rsidR="00E460AF" w:rsidRDefault="00E460AF" w:rsidP="00E460AF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1" w:name="_Toc213222203"/>
    </w:p>
    <w:p w:rsidR="00E460AF" w:rsidRPr="00D637CC" w:rsidRDefault="00E460AF" w:rsidP="00E460A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637CC">
        <w:rPr>
          <w:rFonts w:ascii="Times New Roman" w:hAnsi="Times New Roman" w:cs="Times New Roman"/>
          <w:i w:val="0"/>
        </w:rPr>
        <w:t>1. Специфика оценки потребности в услугах муниципальных учреждений культуры</w:t>
      </w:r>
      <w:bookmarkEnd w:id="1"/>
    </w:p>
    <w:p w:rsidR="00E460AF" w:rsidRPr="00D637CC" w:rsidRDefault="00E460AF" w:rsidP="00E460AF">
      <w:pPr>
        <w:ind w:firstLine="600"/>
        <w:jc w:val="both"/>
        <w:rPr>
          <w:sz w:val="28"/>
          <w:szCs w:val="28"/>
        </w:rPr>
      </w:pPr>
    </w:p>
    <w:p w:rsidR="00E460AF" w:rsidRPr="00D637CC" w:rsidRDefault="00E460AF" w:rsidP="00E460AF">
      <w:pPr>
        <w:ind w:firstLine="720"/>
        <w:jc w:val="both"/>
        <w:rPr>
          <w:sz w:val="28"/>
          <w:szCs w:val="28"/>
        </w:rPr>
      </w:pPr>
      <w:r w:rsidRPr="00D637CC">
        <w:rPr>
          <w:sz w:val="28"/>
          <w:szCs w:val="28"/>
        </w:rPr>
        <w:t xml:space="preserve">Правовое основание предоставления муниципальных услуг в сфере культуры представлено в Федеральном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D637CC">
          <w:rPr>
            <w:sz w:val="28"/>
            <w:szCs w:val="28"/>
          </w:rPr>
          <w:t>2003 г</w:t>
        </w:r>
      </w:smartTag>
      <w:r w:rsidRPr="00D637CC">
        <w:rPr>
          <w:sz w:val="28"/>
          <w:szCs w:val="28"/>
        </w:rPr>
        <w:t xml:space="preserve">. № 131-ФЗ и Законе РФ от 9 октября </w:t>
      </w:r>
      <w:smartTag w:uri="urn:schemas-microsoft-com:office:smarttags" w:element="metricconverter">
        <w:smartTagPr>
          <w:attr w:name="ProductID" w:val="1992 г"/>
        </w:smartTagPr>
        <w:r w:rsidRPr="00D637CC">
          <w:rPr>
            <w:sz w:val="28"/>
            <w:szCs w:val="28"/>
          </w:rPr>
          <w:t>1992 г</w:t>
        </w:r>
      </w:smartTag>
      <w:r w:rsidRPr="00D637CC">
        <w:rPr>
          <w:sz w:val="28"/>
          <w:szCs w:val="28"/>
        </w:rPr>
        <w:t xml:space="preserve">. № 3612-I «Основы законодательства Российской Федерации о культуре». В соответствии с ними, к полномочиям органов местного самоуправления (любого типа) относится создание условий для организации досуга и обеспечения жителей услугами организаций культуры. Данные правовые акты закрепляют необходимость предоставления услуг в сфере культуры, но не содержат требований по обязательному перечню конкретных услуг (на платной или бесплатной для потребителя основе). </w:t>
      </w:r>
    </w:p>
    <w:p w:rsidR="00E460AF" w:rsidRPr="00D637CC" w:rsidRDefault="00E460AF" w:rsidP="00E460AF">
      <w:pPr>
        <w:ind w:firstLine="720"/>
        <w:jc w:val="both"/>
        <w:rPr>
          <w:sz w:val="28"/>
          <w:szCs w:val="28"/>
        </w:rPr>
      </w:pPr>
      <w:r w:rsidRPr="00D637CC">
        <w:rPr>
          <w:sz w:val="28"/>
          <w:szCs w:val="28"/>
        </w:rPr>
        <w:t>Для культуры и искусства, в отличие от других отраслей, определение конечного результата представляется весьма затруднительным. Кроме того, задача определения гарантированного объёма и стоимости услуг усложняется тем, что единый стандарт, который определил бы качественные и стоимостные характеристики бюджетных услуг для разных учреждений культуры практически невозможен. Задача финансирования услуг в культуре – обеспечить не обязательную стандартизованную услугу для заранее заданного, жестко очерченного контингента потребителей, а выбор этих услуг, способный удовлетворить различные вкусы и интересы.</w:t>
      </w:r>
    </w:p>
    <w:p w:rsidR="00E460AF" w:rsidRPr="00D637CC" w:rsidRDefault="00E460AF" w:rsidP="00E460AF">
      <w:pPr>
        <w:ind w:firstLine="709"/>
        <w:jc w:val="both"/>
        <w:rPr>
          <w:sz w:val="28"/>
          <w:szCs w:val="28"/>
        </w:rPr>
      </w:pPr>
      <w:r w:rsidRPr="00D637CC">
        <w:rPr>
          <w:sz w:val="28"/>
          <w:szCs w:val="28"/>
        </w:rPr>
        <w:t xml:space="preserve">Еще одной специфической характеристикой отрасли является пересечение задач, на решение которых нацелено предоставление бюджетных услуг. К примеру, расходы на организацию культурно-зрелищных мероприятий могут одновременно поддерживать самодеятельную творческую инициативу населения, способствовать развитию самобытности народов и являться элементом молодежной политики. </w:t>
      </w:r>
    </w:p>
    <w:p w:rsidR="00E460AF" w:rsidRPr="00D637CC" w:rsidRDefault="00E460AF" w:rsidP="00E460AF">
      <w:pPr>
        <w:ind w:firstLine="720"/>
        <w:jc w:val="both"/>
        <w:rPr>
          <w:sz w:val="28"/>
          <w:szCs w:val="28"/>
        </w:rPr>
      </w:pPr>
      <w:r w:rsidRPr="00D637CC">
        <w:rPr>
          <w:sz w:val="28"/>
          <w:szCs w:val="28"/>
        </w:rPr>
        <w:t>В результате, особенностью предоставления бюджетных услуг в сфере культуры является принятие решений «от достигнутого», на основе использования уже существующих материальных и человеческих ресурсов. С данной особенностью плотно связана вторая специфичная черта функционирования учреждений в сфере культуры: управление ими чаще всего осуществляется «в ручном режиме» с учетом личностных особенностей персонала учреждений. Фактически, существует потребность не просто на услуги по обеспечению работы определенного досугового формирования, но на услуги конкретного кружка или коллектива, руководство которым осуществляет конкретный сотрудник.</w:t>
      </w:r>
    </w:p>
    <w:p w:rsidR="00E460AF" w:rsidRPr="00D637CC" w:rsidRDefault="00E460AF" w:rsidP="00E460AF">
      <w:pPr>
        <w:ind w:firstLine="708"/>
        <w:jc w:val="both"/>
        <w:rPr>
          <w:spacing w:val="-2"/>
          <w:sz w:val="28"/>
          <w:szCs w:val="28"/>
        </w:rPr>
      </w:pPr>
      <w:r w:rsidRPr="00D637CC">
        <w:rPr>
          <w:spacing w:val="-2"/>
          <w:sz w:val="28"/>
          <w:szCs w:val="28"/>
        </w:rPr>
        <w:t>Доступность услуг может быть оценена на основе учета двух основных показателей (</w:t>
      </w:r>
      <w:r w:rsidRPr="00D637CC">
        <w:rPr>
          <w:sz w:val="28"/>
          <w:szCs w:val="28"/>
        </w:rPr>
        <w:t>в Приложении представлены их значения этих по разным досуговым формированиям отличные от нуля):</w:t>
      </w:r>
    </w:p>
    <w:p w:rsidR="00E460AF" w:rsidRPr="00D637CC" w:rsidRDefault="00E460AF" w:rsidP="00E460AF">
      <w:pPr>
        <w:numPr>
          <w:ilvl w:val="0"/>
          <w:numId w:val="1"/>
        </w:numPr>
        <w:jc w:val="both"/>
        <w:rPr>
          <w:sz w:val="28"/>
          <w:szCs w:val="28"/>
        </w:rPr>
      </w:pPr>
      <w:r w:rsidRPr="00D637CC">
        <w:rPr>
          <w:spacing w:val="-2"/>
          <w:sz w:val="28"/>
          <w:szCs w:val="28"/>
        </w:rPr>
        <w:lastRenderedPageBreak/>
        <w:t xml:space="preserve">количество </w:t>
      </w:r>
      <w:r w:rsidRPr="00D637CC">
        <w:rPr>
          <w:sz w:val="28"/>
          <w:szCs w:val="28"/>
        </w:rPr>
        <w:t>желающих принять участие в деятельности учреждения</w:t>
      </w:r>
      <w:r w:rsidR="003E5203" w:rsidRPr="003E5203">
        <w:rPr>
          <w:sz w:val="28"/>
          <w:szCs w:val="28"/>
        </w:rPr>
        <w:t xml:space="preserve"> </w:t>
      </w:r>
      <w:r w:rsidR="003E5203" w:rsidRPr="00D637CC">
        <w:rPr>
          <w:sz w:val="28"/>
          <w:szCs w:val="28"/>
        </w:rPr>
        <w:t>на бесплатной основе</w:t>
      </w:r>
      <w:r w:rsidRPr="00D637CC">
        <w:rPr>
          <w:sz w:val="28"/>
          <w:szCs w:val="28"/>
        </w:rPr>
        <w:t>, но не принятых в связи с нехваткой мест;</w:t>
      </w:r>
    </w:p>
    <w:p w:rsidR="00E460AF" w:rsidRPr="00D637CC" w:rsidRDefault="00E460AF" w:rsidP="00E460AF">
      <w:pPr>
        <w:ind w:firstLine="708"/>
        <w:jc w:val="both"/>
        <w:rPr>
          <w:sz w:val="28"/>
          <w:szCs w:val="28"/>
        </w:rPr>
      </w:pPr>
    </w:p>
    <w:p w:rsidR="00E460AF" w:rsidRPr="00D637CC" w:rsidRDefault="00E460AF" w:rsidP="00E460AF">
      <w:pPr>
        <w:ind w:firstLine="708"/>
        <w:jc w:val="both"/>
        <w:rPr>
          <w:spacing w:val="-2"/>
          <w:sz w:val="28"/>
          <w:szCs w:val="28"/>
        </w:rPr>
      </w:pPr>
      <w:r w:rsidRPr="00D637CC">
        <w:rPr>
          <w:sz w:val="28"/>
          <w:szCs w:val="28"/>
        </w:rPr>
        <w:t>О</w:t>
      </w:r>
      <w:r w:rsidRPr="00D637CC">
        <w:rPr>
          <w:spacing w:val="-2"/>
          <w:sz w:val="28"/>
          <w:szCs w:val="28"/>
        </w:rPr>
        <w:t>собую роль при оценке потребности в муниципальных услугах по данной отрасли приобретают экспертные оценки. Данные оценки должны быть сопоставлены с существующими ограничениями на предоставление услуг (финансовыми, инфраструктурными, кадровыми).</w:t>
      </w:r>
      <w:r w:rsidRPr="00D637CC">
        <w:rPr>
          <w:sz w:val="28"/>
          <w:szCs w:val="28"/>
        </w:rPr>
        <w:t xml:space="preserve"> </w:t>
      </w:r>
      <w:r w:rsidRPr="00D637CC">
        <w:rPr>
          <w:spacing w:val="-2"/>
          <w:sz w:val="28"/>
          <w:szCs w:val="28"/>
        </w:rPr>
        <w:t>Применение количественных методов анализа при этом является нецелесообразным.</w:t>
      </w:r>
    </w:p>
    <w:p w:rsidR="00E460AF" w:rsidRDefault="00E460AF" w:rsidP="00E460AF">
      <w:pPr>
        <w:ind w:firstLine="600"/>
        <w:jc w:val="both"/>
        <w:rPr>
          <w:sz w:val="28"/>
          <w:szCs w:val="28"/>
        </w:rPr>
      </w:pPr>
    </w:p>
    <w:p w:rsidR="00E460AF" w:rsidRDefault="00E460AF" w:rsidP="00E460A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2" w:name="_Toc213222204"/>
      <w:r>
        <w:rPr>
          <w:rFonts w:ascii="Times New Roman" w:hAnsi="Times New Roman" w:cs="Times New Roman"/>
          <w:i w:val="0"/>
        </w:rPr>
        <w:t>2.</w:t>
      </w:r>
      <w:r w:rsidRPr="00D637CC">
        <w:rPr>
          <w:rFonts w:ascii="Times New Roman" w:hAnsi="Times New Roman" w:cs="Times New Roman"/>
          <w:i w:val="0"/>
        </w:rPr>
        <w:t xml:space="preserve">Оценка потребностей в услугах муниципального учреждения культуры </w:t>
      </w:r>
    </w:p>
    <w:p w:rsidR="00E460AF" w:rsidRPr="00D637CC" w:rsidRDefault="00E460AF" w:rsidP="00E460A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637CC">
        <w:rPr>
          <w:rFonts w:ascii="Times New Roman" w:hAnsi="Times New Roman" w:cs="Times New Roman"/>
          <w:i w:val="0"/>
        </w:rPr>
        <w:t>«</w:t>
      </w:r>
      <w:r w:rsidR="003E5203">
        <w:rPr>
          <w:rFonts w:ascii="Times New Roman" w:hAnsi="Times New Roman" w:cs="Times New Roman"/>
          <w:i w:val="0"/>
        </w:rPr>
        <w:t>МКУ КДЦ Остаповского сельского поселения</w:t>
      </w:r>
      <w:r w:rsidRPr="00D637CC">
        <w:rPr>
          <w:rFonts w:ascii="Times New Roman" w:hAnsi="Times New Roman" w:cs="Times New Roman"/>
          <w:i w:val="0"/>
        </w:rPr>
        <w:t>»</w:t>
      </w:r>
      <w:bookmarkEnd w:id="2"/>
    </w:p>
    <w:p w:rsidR="00E460AF" w:rsidRPr="00D637CC" w:rsidRDefault="00E460AF" w:rsidP="00E460AF">
      <w:pPr>
        <w:ind w:firstLine="600"/>
        <w:jc w:val="both"/>
        <w:rPr>
          <w:sz w:val="28"/>
          <w:szCs w:val="28"/>
        </w:rPr>
      </w:pPr>
    </w:p>
    <w:p w:rsidR="00E460AF" w:rsidRPr="00D637CC" w:rsidRDefault="00E460AF" w:rsidP="00E460AF">
      <w:pPr>
        <w:ind w:firstLine="720"/>
        <w:jc w:val="both"/>
        <w:rPr>
          <w:sz w:val="28"/>
          <w:szCs w:val="28"/>
        </w:rPr>
      </w:pPr>
      <w:r w:rsidRPr="00D637CC">
        <w:rPr>
          <w:sz w:val="28"/>
          <w:szCs w:val="28"/>
        </w:rPr>
        <w:t xml:space="preserve">Муниципальное </w:t>
      </w:r>
      <w:r w:rsidR="003E5203">
        <w:rPr>
          <w:sz w:val="28"/>
          <w:szCs w:val="28"/>
        </w:rPr>
        <w:t>казенное учреждение «Культурно-досуговый центр</w:t>
      </w:r>
      <w:r w:rsidRPr="00D637CC">
        <w:rPr>
          <w:sz w:val="28"/>
          <w:szCs w:val="28"/>
        </w:rPr>
        <w:t xml:space="preserve"> «</w:t>
      </w:r>
      <w:r w:rsidR="003E5203">
        <w:rPr>
          <w:sz w:val="28"/>
          <w:szCs w:val="28"/>
        </w:rPr>
        <w:t xml:space="preserve">Остаповского сельского поселения» </w:t>
      </w:r>
      <w:r w:rsidRPr="00D637CC">
        <w:rPr>
          <w:sz w:val="28"/>
          <w:szCs w:val="28"/>
        </w:rPr>
        <w:t>имеет</w:t>
      </w:r>
      <w:r w:rsidR="003E5203">
        <w:rPr>
          <w:sz w:val="28"/>
          <w:szCs w:val="28"/>
        </w:rPr>
        <w:t xml:space="preserve"> 4 дома культура находящихся в разных населенных </w:t>
      </w:r>
      <w:r w:rsidR="0003018B">
        <w:rPr>
          <w:sz w:val="28"/>
          <w:szCs w:val="28"/>
        </w:rPr>
        <w:t>п</w:t>
      </w:r>
      <w:r w:rsidR="00956F35">
        <w:rPr>
          <w:sz w:val="28"/>
          <w:szCs w:val="28"/>
        </w:rPr>
        <w:t>унктах.  По данным на 31.12.2021</w:t>
      </w:r>
      <w:r w:rsidR="003E5203">
        <w:rPr>
          <w:sz w:val="28"/>
          <w:szCs w:val="28"/>
        </w:rPr>
        <w:t xml:space="preserve"> </w:t>
      </w:r>
      <w:r w:rsidRPr="008335F0">
        <w:rPr>
          <w:sz w:val="28"/>
          <w:szCs w:val="28"/>
        </w:rPr>
        <w:t>г.</w:t>
      </w:r>
      <w:r w:rsidR="00956F35">
        <w:rPr>
          <w:sz w:val="28"/>
          <w:szCs w:val="28"/>
        </w:rPr>
        <w:t xml:space="preserve"> в МКУ «КДЦ</w:t>
      </w:r>
      <w:r w:rsidRPr="00D637CC">
        <w:rPr>
          <w:sz w:val="28"/>
          <w:szCs w:val="28"/>
        </w:rPr>
        <w:t xml:space="preserve">» работает </w:t>
      </w:r>
      <w:r w:rsidR="00BC3445">
        <w:rPr>
          <w:sz w:val="28"/>
          <w:szCs w:val="28"/>
        </w:rPr>
        <w:t>7</w:t>
      </w:r>
      <w:r w:rsidRPr="00D637CC">
        <w:rPr>
          <w:sz w:val="28"/>
          <w:szCs w:val="28"/>
        </w:rPr>
        <w:t xml:space="preserve"> сотрудников.</w:t>
      </w:r>
    </w:p>
    <w:p w:rsidR="00E460AF" w:rsidRPr="00D637CC" w:rsidRDefault="00E460AF" w:rsidP="00E460AF">
      <w:pPr>
        <w:ind w:firstLine="720"/>
        <w:jc w:val="both"/>
        <w:rPr>
          <w:sz w:val="28"/>
          <w:szCs w:val="28"/>
        </w:rPr>
      </w:pPr>
      <w:r w:rsidRPr="00D637CC">
        <w:rPr>
          <w:sz w:val="28"/>
          <w:szCs w:val="28"/>
        </w:rPr>
        <w:t xml:space="preserve"> Муниципальное учреждение культуры «</w:t>
      </w:r>
      <w:r w:rsidR="003E5203" w:rsidRPr="00D637CC">
        <w:rPr>
          <w:sz w:val="28"/>
          <w:szCs w:val="28"/>
        </w:rPr>
        <w:t xml:space="preserve">Муниципальное </w:t>
      </w:r>
      <w:r w:rsidR="003E5203">
        <w:rPr>
          <w:sz w:val="28"/>
          <w:szCs w:val="28"/>
        </w:rPr>
        <w:t>казенное учреждение «Культурно-досуговый центр</w:t>
      </w:r>
      <w:r w:rsidR="00B00407">
        <w:rPr>
          <w:sz w:val="28"/>
          <w:szCs w:val="28"/>
        </w:rPr>
        <w:t xml:space="preserve"> </w:t>
      </w:r>
      <w:r w:rsidR="003E5203">
        <w:rPr>
          <w:sz w:val="28"/>
          <w:szCs w:val="28"/>
        </w:rPr>
        <w:t>Остаповского сельского поселения</w:t>
      </w:r>
      <w:r w:rsidRPr="00D637CC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единственны</w:t>
      </w:r>
      <w:r w:rsidRPr="00D637CC">
        <w:rPr>
          <w:sz w:val="28"/>
          <w:szCs w:val="28"/>
        </w:rPr>
        <w:t xml:space="preserve">м учреждением </w:t>
      </w:r>
      <w:r w:rsidR="003E5203">
        <w:rPr>
          <w:sz w:val="28"/>
          <w:szCs w:val="28"/>
        </w:rPr>
        <w:t>Остаповского сельского поселения</w:t>
      </w:r>
      <w:r w:rsidRPr="00D637CC">
        <w:rPr>
          <w:sz w:val="28"/>
          <w:szCs w:val="28"/>
        </w:rPr>
        <w:t xml:space="preserve"> данного профиля.  </w:t>
      </w:r>
    </w:p>
    <w:p w:rsidR="00E460AF" w:rsidRPr="00D637CC" w:rsidRDefault="00E460AF" w:rsidP="00E460AF">
      <w:pPr>
        <w:ind w:firstLine="720"/>
        <w:jc w:val="both"/>
        <w:rPr>
          <w:sz w:val="28"/>
          <w:szCs w:val="28"/>
        </w:rPr>
      </w:pPr>
      <w:r w:rsidRPr="00D637CC">
        <w:rPr>
          <w:sz w:val="28"/>
          <w:szCs w:val="28"/>
        </w:rPr>
        <w:t>Ограничения на предоставление услуг «</w:t>
      </w:r>
      <w:r w:rsidR="003E5203" w:rsidRPr="00D637CC">
        <w:rPr>
          <w:sz w:val="28"/>
          <w:szCs w:val="28"/>
        </w:rPr>
        <w:t xml:space="preserve">Муниципальное </w:t>
      </w:r>
      <w:r w:rsidR="003E5203">
        <w:rPr>
          <w:sz w:val="28"/>
          <w:szCs w:val="28"/>
        </w:rPr>
        <w:t>казенное учреждение «Культурно-досуговый центр</w:t>
      </w:r>
      <w:r w:rsidR="00B00407">
        <w:rPr>
          <w:sz w:val="28"/>
          <w:szCs w:val="28"/>
        </w:rPr>
        <w:t xml:space="preserve"> </w:t>
      </w:r>
      <w:r w:rsidR="003E5203">
        <w:rPr>
          <w:sz w:val="28"/>
          <w:szCs w:val="28"/>
        </w:rPr>
        <w:t>Остаповского сельского поселения»</w:t>
      </w:r>
      <w:r w:rsidRPr="00D637CC">
        <w:rPr>
          <w:sz w:val="28"/>
          <w:szCs w:val="28"/>
        </w:rPr>
        <w:t xml:space="preserve"> определяются, прежде всего, количеством помещений, предназначенных для организации занятий кружков и коллективов самодеятельного творчества,</w:t>
      </w:r>
      <w:r w:rsidR="004B5823">
        <w:rPr>
          <w:sz w:val="28"/>
          <w:szCs w:val="28"/>
        </w:rPr>
        <w:t xml:space="preserve"> которые занимаются на </w:t>
      </w:r>
      <w:r w:rsidR="00672330">
        <w:rPr>
          <w:sz w:val="28"/>
          <w:szCs w:val="28"/>
        </w:rPr>
        <w:t>безвозмездной</w:t>
      </w:r>
      <w:r w:rsidR="004B5823">
        <w:rPr>
          <w:sz w:val="28"/>
          <w:szCs w:val="28"/>
        </w:rPr>
        <w:t xml:space="preserve"> основе</w:t>
      </w:r>
      <w:r w:rsidRPr="00D637CC">
        <w:rPr>
          <w:sz w:val="28"/>
          <w:szCs w:val="28"/>
        </w:rPr>
        <w:t xml:space="preserve"> проведения мероприятий и репетиций. Данный фактор накладывает ограничения на совокупную численность участников клубных формирований (в 20</w:t>
      </w:r>
      <w:r w:rsidR="00F8246A">
        <w:rPr>
          <w:sz w:val="28"/>
          <w:szCs w:val="28"/>
        </w:rPr>
        <w:t>21</w:t>
      </w:r>
      <w:r w:rsidR="003E5203">
        <w:rPr>
          <w:sz w:val="28"/>
          <w:szCs w:val="28"/>
        </w:rPr>
        <w:t xml:space="preserve"> г. в </w:t>
      </w:r>
      <w:r w:rsidR="004B5823">
        <w:rPr>
          <w:sz w:val="28"/>
          <w:szCs w:val="28"/>
        </w:rPr>
        <w:t>23</w:t>
      </w:r>
      <w:r w:rsidRPr="00D637CC">
        <w:rPr>
          <w:sz w:val="28"/>
          <w:szCs w:val="28"/>
        </w:rPr>
        <w:t xml:space="preserve"> </w:t>
      </w:r>
      <w:r w:rsidR="004B5823">
        <w:rPr>
          <w:sz w:val="28"/>
          <w:szCs w:val="28"/>
        </w:rPr>
        <w:t>объединениях по интересам</w:t>
      </w:r>
      <w:r w:rsidRPr="00D637CC">
        <w:rPr>
          <w:sz w:val="28"/>
          <w:szCs w:val="28"/>
        </w:rPr>
        <w:t xml:space="preserve"> занимается </w:t>
      </w:r>
      <w:r w:rsidR="004B5823">
        <w:rPr>
          <w:sz w:val="28"/>
          <w:szCs w:val="28"/>
        </w:rPr>
        <w:t xml:space="preserve">230 </w:t>
      </w:r>
      <w:r w:rsidRPr="00D637CC">
        <w:rPr>
          <w:sz w:val="28"/>
          <w:szCs w:val="28"/>
        </w:rPr>
        <w:t xml:space="preserve">человек) и число мероприятий </w:t>
      </w:r>
      <w:r w:rsidRPr="004B5823">
        <w:rPr>
          <w:sz w:val="28"/>
          <w:szCs w:val="28"/>
        </w:rPr>
        <w:t>(</w:t>
      </w:r>
      <w:r w:rsidR="00F8246A">
        <w:rPr>
          <w:sz w:val="28"/>
          <w:szCs w:val="28"/>
        </w:rPr>
        <w:t>432</w:t>
      </w:r>
      <w:r w:rsidRPr="004B5823">
        <w:rPr>
          <w:sz w:val="28"/>
          <w:szCs w:val="28"/>
        </w:rPr>
        <w:t xml:space="preserve"> мероприятий).</w:t>
      </w:r>
      <w:r w:rsidRPr="00D637CC">
        <w:rPr>
          <w:sz w:val="28"/>
          <w:szCs w:val="28"/>
        </w:rPr>
        <w:t xml:space="preserve"> В настоящее время учреждение функционирует на пределе своих возможностей и </w:t>
      </w:r>
      <w:r w:rsidRPr="008335F0">
        <w:rPr>
          <w:sz w:val="28"/>
          <w:szCs w:val="28"/>
        </w:rPr>
        <w:t>совокупное</w:t>
      </w:r>
      <w:r w:rsidRPr="00D637CC">
        <w:rPr>
          <w:sz w:val="28"/>
          <w:szCs w:val="28"/>
        </w:rPr>
        <w:t xml:space="preserve"> число мероприятий и коллективов увеличению не подлежит. В то же время, возможно перераспределение имеющихся мощностей между разными клуб</w:t>
      </w:r>
      <w:r w:rsidR="004B5823">
        <w:rPr>
          <w:sz w:val="28"/>
          <w:szCs w:val="28"/>
        </w:rPr>
        <w:t xml:space="preserve">ами </w:t>
      </w:r>
      <w:r w:rsidRPr="00D637CC">
        <w:rPr>
          <w:sz w:val="28"/>
          <w:szCs w:val="28"/>
        </w:rPr>
        <w:t xml:space="preserve">и мероприятиями. В связи с этим, для </w:t>
      </w:r>
      <w:proofErr w:type="spellStart"/>
      <w:r w:rsidRPr="00D637CC">
        <w:rPr>
          <w:sz w:val="28"/>
          <w:szCs w:val="28"/>
        </w:rPr>
        <w:t>избежания</w:t>
      </w:r>
      <w:proofErr w:type="spellEnd"/>
      <w:r w:rsidRPr="00D637CC">
        <w:rPr>
          <w:sz w:val="28"/>
          <w:szCs w:val="28"/>
        </w:rPr>
        <w:t xml:space="preserve"> повторов при оценке потребности по услугам, эти факторы не указываются, за исключением отдельно оговоренных случаев.</w:t>
      </w:r>
    </w:p>
    <w:p w:rsidR="00E460AF" w:rsidRDefault="00E460AF" w:rsidP="00E460AF">
      <w:pPr>
        <w:pStyle w:val="21"/>
        <w:ind w:left="-851" w:right="-858" w:firstLine="1571"/>
        <w:rPr>
          <w:b/>
          <w:i/>
        </w:rPr>
      </w:pPr>
      <w:r>
        <w:rPr>
          <w:b/>
          <w:i/>
        </w:rPr>
        <w:t>Обеспечение работы  клубных формирований</w:t>
      </w:r>
    </w:p>
    <w:p w:rsidR="00E460AF" w:rsidRDefault="00E460AF" w:rsidP="00E460AF">
      <w:pPr>
        <w:pStyle w:val="21"/>
        <w:ind w:right="-10" w:firstLine="720"/>
        <w:jc w:val="both"/>
      </w:pPr>
      <w:r>
        <w:t>В 20</w:t>
      </w:r>
      <w:r w:rsidR="00F8246A">
        <w:t>18-2020</w:t>
      </w:r>
      <w:r w:rsidR="00BC3445">
        <w:t xml:space="preserve"> </w:t>
      </w:r>
      <w:r>
        <w:t xml:space="preserve">гг. в </w:t>
      </w:r>
      <w:r w:rsidR="00B00407">
        <w:rPr>
          <w:szCs w:val="28"/>
        </w:rPr>
        <w:t>Муниципальном</w:t>
      </w:r>
      <w:r w:rsidR="00B00407" w:rsidRPr="00D637CC">
        <w:rPr>
          <w:szCs w:val="28"/>
        </w:rPr>
        <w:t xml:space="preserve"> </w:t>
      </w:r>
      <w:r w:rsidR="00B00407">
        <w:rPr>
          <w:szCs w:val="28"/>
        </w:rPr>
        <w:t>казенном учреждение «Культурно-досугового центра</w:t>
      </w:r>
      <w:r w:rsidR="00672330">
        <w:rPr>
          <w:szCs w:val="28"/>
        </w:rPr>
        <w:t xml:space="preserve"> </w:t>
      </w:r>
      <w:r w:rsidR="00B00407">
        <w:rPr>
          <w:szCs w:val="28"/>
        </w:rPr>
        <w:t>Остаповского сельского поселения</w:t>
      </w:r>
      <w:r>
        <w:t>» было представлено в среднем</w:t>
      </w:r>
      <w:r w:rsidR="00B00407">
        <w:t xml:space="preserve"> </w:t>
      </w:r>
      <w:r w:rsidR="00EA019F">
        <w:t>23 объединения по интересам</w:t>
      </w:r>
      <w:r>
        <w:t>. Ограничения по доступности услуги со стороны ставок специалистов или имеющихся поме</w:t>
      </w:r>
      <w:r w:rsidR="00B00407">
        <w:t xml:space="preserve">щений в настоящее время имеются. </w:t>
      </w:r>
      <w:r>
        <w:t>По приближенной оценке, потребность в деяте</w:t>
      </w:r>
      <w:r w:rsidR="00F8246A">
        <w:t>льности этих коллективов  в 2022-2024</w:t>
      </w:r>
      <w:r w:rsidR="00B00407">
        <w:t xml:space="preserve"> </w:t>
      </w:r>
      <w:r>
        <w:t xml:space="preserve">гг. останется и составит около  </w:t>
      </w:r>
      <w:r w:rsidR="00672330">
        <w:t>2</w:t>
      </w:r>
      <w:r w:rsidR="00B071CA">
        <w:t>3</w:t>
      </w:r>
      <w:r w:rsidR="00BC3445">
        <w:t>0</w:t>
      </w:r>
      <w:r w:rsidR="00672330">
        <w:t xml:space="preserve"> </w:t>
      </w:r>
      <w:r>
        <w:t xml:space="preserve">участников в год.  </w:t>
      </w:r>
    </w:p>
    <w:p w:rsidR="00EA019F" w:rsidRDefault="00EA019F" w:rsidP="00E460AF">
      <w:pPr>
        <w:pStyle w:val="21"/>
        <w:ind w:left="-851" w:right="-858" w:firstLine="1571"/>
        <w:rPr>
          <w:b/>
          <w:i/>
        </w:rPr>
      </w:pPr>
    </w:p>
    <w:p w:rsidR="00EA019F" w:rsidRDefault="00EA019F" w:rsidP="00E460AF">
      <w:pPr>
        <w:pStyle w:val="21"/>
        <w:ind w:left="-851" w:right="-858" w:firstLine="1571"/>
        <w:rPr>
          <w:b/>
          <w:i/>
        </w:rPr>
      </w:pPr>
    </w:p>
    <w:p w:rsidR="00E460AF" w:rsidRDefault="00E460AF" w:rsidP="00E460AF">
      <w:pPr>
        <w:pStyle w:val="21"/>
        <w:ind w:left="-851" w:right="-858" w:firstLine="1571"/>
        <w:rPr>
          <w:b/>
          <w:i/>
        </w:rPr>
      </w:pPr>
      <w:bookmarkStart w:id="3" w:name="_GoBack"/>
      <w:bookmarkEnd w:id="3"/>
      <w:r>
        <w:rPr>
          <w:b/>
          <w:i/>
        </w:rPr>
        <w:t>Организация и проведение  культурно-досуговых мероприятий</w:t>
      </w:r>
    </w:p>
    <w:p w:rsidR="00E460AF" w:rsidRDefault="00E460AF" w:rsidP="00E460AF">
      <w:pPr>
        <w:pStyle w:val="21"/>
        <w:ind w:right="-10" w:firstLine="720"/>
        <w:jc w:val="both"/>
      </w:pPr>
      <w:r>
        <w:t>Данная услуга объединяет широкий круг мероприятий, включающие в себя проведение праздников и памятных дней муниципального значения, отчетные мероприятия деятельности коллективов, деятельность, осуществляемую в рамках воспитания молодежи, тематические и танцевальные вечера, детские утренники, в</w:t>
      </w:r>
      <w:r w:rsidR="00F8246A">
        <w:t>ыездные концерты</w:t>
      </w:r>
      <w:r>
        <w:t xml:space="preserve">. Количество мероприятий варьируется в </w:t>
      </w:r>
      <w:r w:rsidRPr="004B5823">
        <w:t xml:space="preserve">пределах </w:t>
      </w:r>
      <w:r w:rsidR="00F8246A">
        <w:t>432</w:t>
      </w:r>
      <w:r w:rsidR="004B5823" w:rsidRPr="004B5823">
        <w:t xml:space="preserve"> </w:t>
      </w:r>
      <w:r w:rsidRPr="004B5823">
        <w:t>мероприятий в год, посещаемость -  от 20-30 человек до 1000-1500.</w:t>
      </w:r>
    </w:p>
    <w:p w:rsidR="00E460AF" w:rsidRDefault="00E460AF" w:rsidP="00E460AF">
      <w:pPr>
        <w:pStyle w:val="21"/>
        <w:ind w:right="-10" w:firstLine="720"/>
        <w:jc w:val="both"/>
      </w:pPr>
      <w:r w:rsidRPr="00AD1897">
        <w:t>Общедоступные мероприятия</w:t>
      </w:r>
      <w:r>
        <w:t>, имеющие социальную значимость и воспитательную направленность</w:t>
      </w:r>
      <w:r w:rsidR="004B5823">
        <w:t xml:space="preserve">, а также </w:t>
      </w:r>
      <w:r>
        <w:t xml:space="preserve">часть мероприятий, ориентированных на развитие детей школьного возраста проводятся на бесплатной основе. </w:t>
      </w:r>
    </w:p>
    <w:p w:rsidR="00E460AF" w:rsidRDefault="00E460AF" w:rsidP="00E460AF">
      <w:pPr>
        <w:pStyle w:val="21"/>
        <w:ind w:right="-10" w:firstLine="720"/>
        <w:jc w:val="both"/>
      </w:pPr>
      <w:r>
        <w:t xml:space="preserve">Потребность в мероприятиях непосредственно зависит от того, проводятся ли районные мероприятия на основе </w:t>
      </w:r>
      <w:r w:rsidR="00B00407">
        <w:rPr>
          <w:szCs w:val="28"/>
        </w:rPr>
        <w:t>МКУ «КДЦ Остаповского сельского поселения</w:t>
      </w:r>
      <w:r>
        <w:t>» и количества существующих в учреждении клубных формировани</w:t>
      </w:r>
      <w:r w:rsidR="00B00407">
        <w:t xml:space="preserve">й.  В условиях отсутствия иных </w:t>
      </w:r>
      <w:r>
        <w:t xml:space="preserve">площадок проведения мероприятий и относительно стабильной прогнозируемой численности клубных формирований, потребность </w:t>
      </w:r>
      <w:r w:rsidR="004B5823">
        <w:t>в</w:t>
      </w:r>
      <w:r w:rsidR="00672330">
        <w:t xml:space="preserve"> бесплатных </w:t>
      </w:r>
      <w:r>
        <w:t xml:space="preserve">мероприятиях на </w:t>
      </w:r>
      <w:r w:rsidR="00F8246A">
        <w:t>2022</w:t>
      </w:r>
      <w:r w:rsidR="004B5823">
        <w:t>-</w:t>
      </w:r>
      <w:r w:rsidR="004B5823" w:rsidRPr="004B5823">
        <w:t xml:space="preserve"> </w:t>
      </w:r>
      <w:r w:rsidRPr="004B5823">
        <w:t>20</w:t>
      </w:r>
      <w:r w:rsidR="00F8246A">
        <w:t>24</w:t>
      </w:r>
      <w:r w:rsidR="004B5823" w:rsidRPr="004B5823">
        <w:t xml:space="preserve"> </w:t>
      </w:r>
      <w:r w:rsidRPr="004B5823">
        <w:t xml:space="preserve">гг. ожидается примерно на текущем уровне   в </w:t>
      </w:r>
      <w:r w:rsidR="00F8246A">
        <w:t>432</w:t>
      </w:r>
      <w:r w:rsidRPr="004B5823">
        <w:t xml:space="preserve"> мероприятий в год.</w:t>
      </w:r>
    </w:p>
    <w:p w:rsidR="00E460AF" w:rsidRDefault="00E460AF" w:rsidP="00E460AF">
      <w:pPr>
        <w:pStyle w:val="21"/>
        <w:ind w:right="-10" w:firstLine="720"/>
        <w:jc w:val="both"/>
      </w:pPr>
      <w:r>
        <w:t xml:space="preserve">В настоящее время, дискотеки в </w:t>
      </w:r>
      <w:r w:rsidR="004B5823">
        <w:t>поселении</w:t>
      </w:r>
      <w:r w:rsidR="00F8246A">
        <w:t xml:space="preserve"> не проводятся</w:t>
      </w:r>
      <w:r>
        <w:t>. В связи со вступлением в 2006</w:t>
      </w:r>
      <w:r w:rsidR="004B5823">
        <w:t xml:space="preserve"> </w:t>
      </w:r>
      <w:r>
        <w:t xml:space="preserve">г. новой редакции Кодекса </w:t>
      </w:r>
      <w:r w:rsidR="004B5823">
        <w:t>Ивановской</w:t>
      </w:r>
      <w:r>
        <w:t xml:space="preserve"> области об административных правонарушениях, запрещающей появление подростков моложе 16 лет без родителей в развлекательных учреждениях после 22 часов, потребность в дискотеках значительно снизилась, особенно в летнее время. </w:t>
      </w:r>
    </w:p>
    <w:p w:rsidR="00B071CA" w:rsidRDefault="00B071CA" w:rsidP="00E460AF">
      <w:pPr>
        <w:pStyle w:val="21"/>
        <w:ind w:right="-10" w:firstLine="720"/>
        <w:jc w:val="both"/>
      </w:pPr>
      <w:r>
        <w:t>В связи</w:t>
      </w:r>
      <w:r w:rsidR="00F8246A">
        <w:t xml:space="preserve"> с пандемией </w:t>
      </w:r>
      <w:proofErr w:type="spellStart"/>
      <w:r w:rsidR="00F8246A">
        <w:t>короновируса</w:t>
      </w:r>
      <w:proofErr w:type="spellEnd"/>
      <w:r w:rsidR="00F8246A">
        <w:t xml:space="preserve"> в 2021</w:t>
      </w:r>
      <w:r w:rsidR="00B0021D">
        <w:t xml:space="preserve"> году ограничения были частично сняты,</w:t>
      </w:r>
      <w:r w:rsidR="00EA019F">
        <w:t xml:space="preserve"> </w:t>
      </w:r>
      <w:r>
        <w:t>все культурно-ма</w:t>
      </w:r>
      <w:r w:rsidR="00F8246A">
        <w:t xml:space="preserve">ссовые мероприятия частично </w:t>
      </w:r>
      <w:proofErr w:type="gramStart"/>
      <w:r w:rsidR="00F8246A">
        <w:t>возобновились ,</w:t>
      </w:r>
      <w:proofErr w:type="gramEnd"/>
      <w:r w:rsidR="00EA019F">
        <w:t xml:space="preserve"> </w:t>
      </w:r>
      <w:r w:rsidR="00F8246A">
        <w:t>многие перешли в онлайн-формат</w:t>
      </w:r>
      <w:r>
        <w:t xml:space="preserve"> ,поэтому показатели по количеству меропри</w:t>
      </w:r>
      <w:r w:rsidR="00F8246A">
        <w:t xml:space="preserve">ятий и посещения на них были </w:t>
      </w:r>
      <w:r>
        <w:t xml:space="preserve">выполнены в полном объеме </w:t>
      </w:r>
      <w:r w:rsidR="00F8246A">
        <w:t>на уровне 2019 года и составили соответственно 432 мероприятия с посещением 8314</w:t>
      </w:r>
      <w:r>
        <w:t xml:space="preserve"> чел.</w:t>
      </w:r>
    </w:p>
    <w:p w:rsidR="00B071CA" w:rsidRDefault="00B071CA" w:rsidP="00E460AF">
      <w:pPr>
        <w:pStyle w:val="21"/>
        <w:ind w:right="-10" w:firstLine="720"/>
        <w:jc w:val="both"/>
        <w:rPr>
          <w:b/>
          <w:i/>
        </w:rPr>
      </w:pPr>
      <w:r>
        <w:t>План</w:t>
      </w:r>
      <w:r w:rsidR="00F8246A">
        <w:t xml:space="preserve"> мероприятий и посещений на 2022</w:t>
      </w:r>
      <w:r>
        <w:t xml:space="preserve"> год планируется на уровне </w:t>
      </w:r>
      <w:r w:rsidR="00F8246A">
        <w:t>+ 10% от плана на 2019</w:t>
      </w:r>
      <w:r>
        <w:t xml:space="preserve"> год.</w:t>
      </w: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  <w:sectPr w:rsidR="001A4C8B" w:rsidSect="001A4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1A4C8B" w:rsidRDefault="001A4C8B" w:rsidP="00E460AF">
      <w:pPr>
        <w:tabs>
          <w:tab w:val="left" w:pos="12600"/>
        </w:tabs>
        <w:rPr>
          <w:b/>
          <w:sz w:val="28"/>
          <w:szCs w:val="28"/>
        </w:rPr>
      </w:pPr>
    </w:p>
    <w:p w:rsidR="00E460AF" w:rsidRPr="00F15B1C" w:rsidRDefault="00E460AF" w:rsidP="00E460AF">
      <w:pPr>
        <w:tabs>
          <w:tab w:val="left" w:pos="12600"/>
        </w:tabs>
        <w:rPr>
          <w:b/>
          <w:sz w:val="28"/>
          <w:szCs w:val="28"/>
        </w:rPr>
      </w:pPr>
      <w:r w:rsidRPr="00F15B1C">
        <w:rPr>
          <w:b/>
          <w:sz w:val="28"/>
          <w:szCs w:val="28"/>
        </w:rPr>
        <w:t>ТАБЛИЦА 1</w:t>
      </w:r>
    </w:p>
    <w:p w:rsidR="00E460AF" w:rsidRDefault="00E460AF" w:rsidP="00E460AF">
      <w:pPr>
        <w:pStyle w:val="2"/>
        <w:spacing w:before="0" w:after="0"/>
        <w:jc w:val="center"/>
        <w:rPr>
          <w:rFonts w:ascii="Times New Roman" w:hAnsi="Times New Roman" w:cs="Times New Roman"/>
          <w:i w:val="0"/>
          <w:spacing w:val="-4"/>
        </w:rPr>
      </w:pPr>
    </w:p>
    <w:p w:rsidR="00E460AF" w:rsidRPr="00CF3457" w:rsidRDefault="00E460AF" w:rsidP="00E460AF">
      <w:pPr>
        <w:pStyle w:val="21"/>
      </w:pPr>
      <w:r w:rsidRPr="00F15B1C">
        <w:rPr>
          <w:b/>
        </w:rPr>
        <w:t xml:space="preserve">Оценка потребностей в услугах муниципального </w:t>
      </w:r>
      <w:r w:rsidR="00672330">
        <w:rPr>
          <w:b/>
        </w:rPr>
        <w:t xml:space="preserve">казенного учреждения культуры «культурно-досуговый центр </w:t>
      </w:r>
      <w:r w:rsidR="00672330" w:rsidRPr="00CF3457">
        <w:rPr>
          <w:b/>
        </w:rPr>
        <w:t>Остаповского сельского поселения»</w:t>
      </w:r>
    </w:p>
    <w:tbl>
      <w:tblPr>
        <w:tblW w:w="144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550"/>
        <w:gridCol w:w="970"/>
        <w:gridCol w:w="48"/>
        <w:gridCol w:w="708"/>
        <w:gridCol w:w="709"/>
        <w:gridCol w:w="1087"/>
        <w:gridCol w:w="1158"/>
        <w:gridCol w:w="1620"/>
        <w:gridCol w:w="1604"/>
        <w:gridCol w:w="1096"/>
        <w:gridCol w:w="1788"/>
      </w:tblGrid>
      <w:tr w:rsidR="00CF3457" w:rsidRPr="00CF3457" w:rsidTr="00CF3457">
        <w:trPr>
          <w:cantSplit/>
          <w:trHeight w:val="660"/>
        </w:trPr>
        <w:tc>
          <w:tcPr>
            <w:tcW w:w="2160" w:type="dxa"/>
            <w:vMerge w:val="restart"/>
          </w:tcPr>
          <w:p w:rsidR="00CF3457" w:rsidRPr="00CF3457" w:rsidRDefault="00CF3457" w:rsidP="00415262">
            <w:pPr>
              <w:jc w:val="center"/>
              <w:rPr>
                <w:b/>
              </w:rPr>
            </w:pPr>
            <w:r w:rsidRPr="00CF3457">
              <w:rPr>
                <w:b/>
                <w:sz w:val="22"/>
              </w:rPr>
              <w:t>Виды  услуг</w:t>
            </w:r>
          </w:p>
        </w:tc>
        <w:tc>
          <w:tcPr>
            <w:tcW w:w="1550" w:type="dxa"/>
            <w:vMerge w:val="restart"/>
          </w:tcPr>
          <w:p w:rsidR="00CF3457" w:rsidRPr="00CF3457" w:rsidRDefault="00CF3457" w:rsidP="00415262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r w:rsidRPr="00CF3457">
              <w:rPr>
                <w:rFonts w:ascii="Times New Roman" w:hAnsi="Times New Roman" w:cs="Times New Roman"/>
                <w:sz w:val="22"/>
              </w:rPr>
              <w:t>Наименование услуги</w:t>
            </w:r>
          </w:p>
        </w:tc>
        <w:tc>
          <w:tcPr>
            <w:tcW w:w="1018" w:type="dxa"/>
            <w:gridSpan w:val="2"/>
            <w:vMerge w:val="restart"/>
          </w:tcPr>
          <w:p w:rsidR="00CF3457" w:rsidRPr="00CF3457" w:rsidRDefault="00CF3457" w:rsidP="00415262">
            <w:pPr>
              <w:jc w:val="center"/>
              <w:rPr>
                <w:b/>
              </w:rPr>
            </w:pPr>
            <w:proofErr w:type="spellStart"/>
            <w:r w:rsidRPr="00CF3457">
              <w:rPr>
                <w:b/>
                <w:sz w:val="22"/>
              </w:rPr>
              <w:t>Ед.изм</w:t>
            </w:r>
            <w:proofErr w:type="spellEnd"/>
            <w:r w:rsidRPr="00CF3457">
              <w:rPr>
                <w:b/>
                <w:sz w:val="22"/>
              </w:rPr>
              <w:t>.</w:t>
            </w:r>
          </w:p>
        </w:tc>
        <w:tc>
          <w:tcPr>
            <w:tcW w:w="2504" w:type="dxa"/>
            <w:gridSpan w:val="3"/>
          </w:tcPr>
          <w:p w:rsidR="00CF3457" w:rsidRPr="00CF3457" w:rsidRDefault="00CF3457" w:rsidP="00415262">
            <w:pPr>
              <w:jc w:val="center"/>
              <w:rPr>
                <w:b/>
              </w:rPr>
            </w:pPr>
            <w:r w:rsidRPr="00CF3457">
              <w:rPr>
                <w:b/>
                <w:sz w:val="22"/>
              </w:rPr>
              <w:t>Фактические объемы предоставления услуги в отчетном периоде</w:t>
            </w:r>
          </w:p>
        </w:tc>
        <w:tc>
          <w:tcPr>
            <w:tcW w:w="2778" w:type="dxa"/>
            <w:gridSpan w:val="2"/>
          </w:tcPr>
          <w:p w:rsidR="00CF3457" w:rsidRPr="00CF3457" w:rsidRDefault="00CF3457" w:rsidP="00672330">
            <w:pPr>
              <w:jc w:val="center"/>
              <w:rPr>
                <w:b/>
              </w:rPr>
            </w:pPr>
            <w:r w:rsidRPr="00CF3457">
              <w:rPr>
                <w:b/>
                <w:sz w:val="22"/>
              </w:rPr>
              <w:t>Оценка потребности и фактического объёма предоставл</w:t>
            </w:r>
            <w:r w:rsidR="0003018B">
              <w:rPr>
                <w:b/>
                <w:sz w:val="22"/>
              </w:rPr>
              <w:t xml:space="preserve">ения услуги в </w:t>
            </w:r>
            <w:r w:rsidR="00F8246A">
              <w:rPr>
                <w:b/>
                <w:sz w:val="22"/>
              </w:rPr>
              <w:t>текущем году (2021</w:t>
            </w:r>
            <w:r w:rsidRPr="00CF3457">
              <w:rPr>
                <w:b/>
                <w:sz w:val="22"/>
              </w:rPr>
              <w:t xml:space="preserve"> г.)</w:t>
            </w:r>
          </w:p>
        </w:tc>
        <w:tc>
          <w:tcPr>
            <w:tcW w:w="1604" w:type="dxa"/>
          </w:tcPr>
          <w:p w:rsidR="00CF3457" w:rsidRPr="00CF3457" w:rsidRDefault="00CF3457" w:rsidP="00415262">
            <w:pPr>
              <w:tabs>
                <w:tab w:val="left" w:pos="4003"/>
                <w:tab w:val="left" w:pos="4145"/>
              </w:tabs>
              <w:jc w:val="center"/>
              <w:rPr>
                <w:b/>
              </w:rPr>
            </w:pPr>
            <w:r w:rsidRPr="00CF3457">
              <w:rPr>
                <w:b/>
                <w:sz w:val="22"/>
              </w:rPr>
              <w:t>Очередной финансовый год</w:t>
            </w:r>
          </w:p>
        </w:tc>
        <w:tc>
          <w:tcPr>
            <w:tcW w:w="2884" w:type="dxa"/>
            <w:gridSpan w:val="2"/>
          </w:tcPr>
          <w:p w:rsidR="00CF3457" w:rsidRPr="00CF3457" w:rsidRDefault="00CF3457" w:rsidP="00CF345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</w:rPr>
            </w:pPr>
            <w:r w:rsidRPr="00CF3457">
              <w:rPr>
                <w:rFonts w:ascii="Times New Roman" w:hAnsi="Times New Roman" w:cs="Times New Roman"/>
                <w:i w:val="0"/>
                <w:sz w:val="22"/>
              </w:rPr>
              <w:t>Оценка потребности в предоставлении</w:t>
            </w:r>
          </w:p>
          <w:p w:rsidR="00CF3457" w:rsidRPr="00CF3457" w:rsidRDefault="00CF3457" w:rsidP="00CF3457">
            <w:pPr>
              <w:tabs>
                <w:tab w:val="left" w:pos="4003"/>
                <w:tab w:val="left" w:pos="4145"/>
              </w:tabs>
              <w:jc w:val="center"/>
              <w:rPr>
                <w:b/>
              </w:rPr>
            </w:pPr>
            <w:r w:rsidRPr="00CF3457">
              <w:rPr>
                <w:b/>
                <w:sz w:val="22"/>
              </w:rPr>
              <w:t>услуги в плановом периоде</w:t>
            </w:r>
          </w:p>
        </w:tc>
      </w:tr>
      <w:tr w:rsidR="00E460AF" w:rsidTr="00CF3457">
        <w:trPr>
          <w:cantSplit/>
          <w:trHeight w:val="267"/>
        </w:trPr>
        <w:tc>
          <w:tcPr>
            <w:tcW w:w="2160" w:type="dxa"/>
            <w:vMerge/>
          </w:tcPr>
          <w:p w:rsidR="00E460AF" w:rsidRDefault="00E460AF" w:rsidP="00415262">
            <w:pPr>
              <w:jc w:val="center"/>
            </w:pPr>
          </w:p>
        </w:tc>
        <w:tc>
          <w:tcPr>
            <w:tcW w:w="1550" w:type="dxa"/>
            <w:vMerge/>
          </w:tcPr>
          <w:p w:rsidR="00E460AF" w:rsidRDefault="00E460AF" w:rsidP="00415262">
            <w:pPr>
              <w:jc w:val="center"/>
            </w:pPr>
          </w:p>
        </w:tc>
        <w:tc>
          <w:tcPr>
            <w:tcW w:w="1018" w:type="dxa"/>
            <w:gridSpan w:val="2"/>
            <w:vMerge/>
          </w:tcPr>
          <w:p w:rsidR="00E460AF" w:rsidRDefault="00E460AF" w:rsidP="00415262">
            <w:pPr>
              <w:jc w:val="center"/>
            </w:pPr>
          </w:p>
        </w:tc>
        <w:tc>
          <w:tcPr>
            <w:tcW w:w="708" w:type="dxa"/>
          </w:tcPr>
          <w:p w:rsidR="00E460AF" w:rsidRDefault="00E460AF" w:rsidP="00BC3445">
            <w:pPr>
              <w:jc w:val="center"/>
            </w:pPr>
            <w:r>
              <w:rPr>
                <w:sz w:val="22"/>
              </w:rPr>
              <w:t>20</w:t>
            </w:r>
            <w:r w:rsidR="00672330">
              <w:rPr>
                <w:sz w:val="22"/>
              </w:rPr>
              <w:t>1</w:t>
            </w:r>
            <w:r w:rsidR="00F8246A">
              <w:rPr>
                <w:sz w:val="22"/>
              </w:rPr>
              <w:t>8</w:t>
            </w:r>
            <w:r>
              <w:rPr>
                <w:sz w:val="22"/>
              </w:rPr>
              <w:t>г.</w:t>
            </w:r>
          </w:p>
        </w:tc>
        <w:tc>
          <w:tcPr>
            <w:tcW w:w="709" w:type="dxa"/>
          </w:tcPr>
          <w:p w:rsidR="00E460AF" w:rsidRDefault="00672330" w:rsidP="00672330">
            <w:pPr>
              <w:jc w:val="center"/>
            </w:pPr>
            <w:r>
              <w:rPr>
                <w:sz w:val="22"/>
              </w:rPr>
              <w:t>2</w:t>
            </w:r>
            <w:r w:rsidR="00F8246A">
              <w:rPr>
                <w:sz w:val="22"/>
              </w:rPr>
              <w:t>019</w:t>
            </w:r>
            <w:r w:rsidR="00E460AF">
              <w:rPr>
                <w:sz w:val="22"/>
              </w:rPr>
              <w:t>г</w:t>
            </w:r>
          </w:p>
        </w:tc>
        <w:tc>
          <w:tcPr>
            <w:tcW w:w="1087" w:type="dxa"/>
          </w:tcPr>
          <w:p w:rsidR="00E460AF" w:rsidRDefault="00E460AF" w:rsidP="00415262">
            <w:pPr>
              <w:jc w:val="center"/>
            </w:pPr>
            <w:r>
              <w:rPr>
                <w:sz w:val="22"/>
              </w:rPr>
              <w:t>2</w:t>
            </w:r>
            <w:r w:rsidR="00F8246A">
              <w:rPr>
                <w:sz w:val="22"/>
              </w:rPr>
              <w:t>020</w:t>
            </w:r>
            <w:r w:rsidR="00BC3445">
              <w:rPr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</w:p>
        </w:tc>
        <w:tc>
          <w:tcPr>
            <w:tcW w:w="1158" w:type="dxa"/>
          </w:tcPr>
          <w:p w:rsidR="00E460AF" w:rsidRDefault="00E460AF" w:rsidP="00415262">
            <w:pPr>
              <w:jc w:val="center"/>
            </w:pPr>
            <w:r>
              <w:rPr>
                <w:i/>
                <w:sz w:val="22"/>
              </w:rPr>
              <w:t>оценка</w:t>
            </w:r>
          </w:p>
        </w:tc>
        <w:tc>
          <w:tcPr>
            <w:tcW w:w="1620" w:type="dxa"/>
          </w:tcPr>
          <w:p w:rsidR="00E460AF" w:rsidRDefault="00E460AF" w:rsidP="00415262">
            <w:pPr>
              <w:jc w:val="center"/>
              <w:rPr>
                <w:i/>
              </w:rPr>
            </w:pPr>
            <w:r>
              <w:rPr>
                <w:i/>
                <w:sz w:val="22"/>
              </w:rPr>
              <w:t>потребность</w:t>
            </w:r>
          </w:p>
        </w:tc>
        <w:tc>
          <w:tcPr>
            <w:tcW w:w="1604" w:type="dxa"/>
          </w:tcPr>
          <w:p w:rsidR="00E460AF" w:rsidRPr="00E06A2F" w:rsidRDefault="00F8246A" w:rsidP="00415262">
            <w:pPr>
              <w:jc w:val="center"/>
            </w:pPr>
            <w:r>
              <w:rPr>
                <w:sz w:val="22"/>
              </w:rPr>
              <w:t>2022</w:t>
            </w:r>
            <w:r w:rsidR="00672330">
              <w:rPr>
                <w:sz w:val="22"/>
              </w:rPr>
              <w:t xml:space="preserve"> </w:t>
            </w:r>
            <w:r w:rsidR="00E460AF" w:rsidRPr="00E06A2F">
              <w:rPr>
                <w:sz w:val="22"/>
              </w:rPr>
              <w:t>г.</w:t>
            </w:r>
          </w:p>
        </w:tc>
        <w:tc>
          <w:tcPr>
            <w:tcW w:w="1096" w:type="dxa"/>
          </w:tcPr>
          <w:p w:rsidR="00E460AF" w:rsidRPr="00E06A2F" w:rsidRDefault="00E460AF" w:rsidP="00672330">
            <w:pPr>
              <w:jc w:val="center"/>
            </w:pPr>
            <w:r w:rsidRPr="00E06A2F">
              <w:rPr>
                <w:sz w:val="22"/>
              </w:rPr>
              <w:t>20</w:t>
            </w:r>
            <w:r w:rsidR="00B0021D">
              <w:rPr>
                <w:sz w:val="22"/>
              </w:rPr>
              <w:t>23</w:t>
            </w:r>
            <w:r w:rsidR="00672330">
              <w:rPr>
                <w:sz w:val="22"/>
              </w:rPr>
              <w:t xml:space="preserve"> </w:t>
            </w:r>
            <w:r w:rsidRPr="00E06A2F">
              <w:rPr>
                <w:sz w:val="22"/>
              </w:rPr>
              <w:t>г.</w:t>
            </w:r>
          </w:p>
        </w:tc>
        <w:tc>
          <w:tcPr>
            <w:tcW w:w="1788" w:type="dxa"/>
          </w:tcPr>
          <w:p w:rsidR="00E460AF" w:rsidRPr="00E06A2F" w:rsidRDefault="00E460AF" w:rsidP="00672330">
            <w:pPr>
              <w:jc w:val="center"/>
            </w:pPr>
            <w:r w:rsidRPr="00E06A2F">
              <w:rPr>
                <w:sz w:val="22"/>
              </w:rPr>
              <w:t>20</w:t>
            </w:r>
            <w:r w:rsidR="00672330">
              <w:rPr>
                <w:sz w:val="22"/>
              </w:rPr>
              <w:t>2</w:t>
            </w:r>
            <w:r w:rsidR="00B0021D">
              <w:rPr>
                <w:sz w:val="22"/>
              </w:rPr>
              <w:t>4</w:t>
            </w:r>
            <w:r w:rsidRPr="00E06A2F">
              <w:rPr>
                <w:sz w:val="22"/>
              </w:rPr>
              <w:t>г.</w:t>
            </w:r>
          </w:p>
        </w:tc>
      </w:tr>
      <w:tr w:rsidR="00E460AF" w:rsidTr="00CF3457">
        <w:trPr>
          <w:cantSplit/>
          <w:trHeight w:val="531"/>
        </w:trPr>
        <w:tc>
          <w:tcPr>
            <w:tcW w:w="2160" w:type="dxa"/>
          </w:tcPr>
          <w:p w:rsidR="00E460AF" w:rsidRDefault="00E460AF" w:rsidP="00415262">
            <w:pPr>
              <w:jc w:val="center"/>
            </w:pPr>
            <w:r>
              <w:rPr>
                <w:sz w:val="22"/>
              </w:rPr>
              <w:t>Обеспечение творческой деятельности граждан через участие в культурно-досуговых формированиях</w:t>
            </w:r>
          </w:p>
        </w:tc>
        <w:tc>
          <w:tcPr>
            <w:tcW w:w="1550" w:type="dxa"/>
          </w:tcPr>
          <w:p w:rsidR="00E460AF" w:rsidRDefault="00E460AF" w:rsidP="00672330">
            <w:pPr>
              <w:jc w:val="center"/>
            </w:pPr>
            <w:r>
              <w:rPr>
                <w:sz w:val="22"/>
              </w:rPr>
              <w:t>Обеспечение работы  клуб</w:t>
            </w:r>
            <w:r w:rsidR="00672330">
              <w:rPr>
                <w:sz w:val="22"/>
              </w:rPr>
              <w:t>ов</w:t>
            </w:r>
          </w:p>
        </w:tc>
        <w:tc>
          <w:tcPr>
            <w:tcW w:w="970" w:type="dxa"/>
          </w:tcPr>
          <w:p w:rsidR="00E460AF" w:rsidRDefault="00E460AF" w:rsidP="00415262">
            <w:pPr>
              <w:jc w:val="center"/>
            </w:pPr>
            <w:r>
              <w:rPr>
                <w:sz w:val="22"/>
              </w:rPr>
              <w:t>Чел.</w:t>
            </w:r>
          </w:p>
        </w:tc>
        <w:tc>
          <w:tcPr>
            <w:tcW w:w="756" w:type="dxa"/>
            <w:gridSpan w:val="2"/>
          </w:tcPr>
          <w:p w:rsidR="00E460AF" w:rsidRDefault="0003018B" w:rsidP="00415262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709" w:type="dxa"/>
          </w:tcPr>
          <w:p w:rsidR="00E460AF" w:rsidRDefault="00F27B40" w:rsidP="00415262">
            <w:pPr>
              <w:jc w:val="center"/>
            </w:pPr>
            <w:r>
              <w:rPr>
                <w:sz w:val="22"/>
              </w:rPr>
              <w:t>2</w:t>
            </w:r>
            <w:r w:rsidR="0003018B">
              <w:rPr>
                <w:sz w:val="22"/>
              </w:rPr>
              <w:t>30</w:t>
            </w:r>
          </w:p>
        </w:tc>
        <w:tc>
          <w:tcPr>
            <w:tcW w:w="1087" w:type="dxa"/>
          </w:tcPr>
          <w:p w:rsidR="00E460AF" w:rsidRDefault="00F8246A" w:rsidP="00415262">
            <w:pPr>
              <w:jc w:val="center"/>
            </w:pPr>
            <w:r>
              <w:rPr>
                <w:sz w:val="22"/>
              </w:rPr>
              <w:t>22</w:t>
            </w:r>
            <w:r w:rsidR="00F27B40">
              <w:rPr>
                <w:sz w:val="22"/>
              </w:rPr>
              <w:t>0</w:t>
            </w:r>
          </w:p>
        </w:tc>
        <w:tc>
          <w:tcPr>
            <w:tcW w:w="1158" w:type="dxa"/>
          </w:tcPr>
          <w:p w:rsidR="00E460AF" w:rsidRDefault="00672330" w:rsidP="00672330">
            <w:pPr>
              <w:jc w:val="center"/>
            </w:pPr>
            <w:r>
              <w:rPr>
                <w:sz w:val="22"/>
              </w:rPr>
              <w:t>230</w:t>
            </w:r>
          </w:p>
        </w:tc>
        <w:tc>
          <w:tcPr>
            <w:tcW w:w="1620" w:type="dxa"/>
          </w:tcPr>
          <w:p w:rsidR="00E460AF" w:rsidRDefault="00CF3457" w:rsidP="00415262">
            <w:pPr>
              <w:jc w:val="center"/>
            </w:pPr>
            <w:r>
              <w:rPr>
                <w:sz w:val="22"/>
              </w:rPr>
              <w:t>2</w:t>
            </w:r>
            <w:r w:rsidR="0003018B">
              <w:rPr>
                <w:sz w:val="22"/>
              </w:rPr>
              <w:t>20</w:t>
            </w:r>
          </w:p>
        </w:tc>
        <w:tc>
          <w:tcPr>
            <w:tcW w:w="1604" w:type="dxa"/>
          </w:tcPr>
          <w:p w:rsidR="00E460AF" w:rsidRPr="00E06A2F" w:rsidRDefault="00FD17BB" w:rsidP="00415262">
            <w:pPr>
              <w:jc w:val="center"/>
            </w:pPr>
            <w:r>
              <w:rPr>
                <w:sz w:val="22"/>
              </w:rPr>
              <w:t>23</w:t>
            </w:r>
            <w:r w:rsidR="00F8246A">
              <w:rPr>
                <w:sz w:val="22"/>
              </w:rPr>
              <w:t>5</w:t>
            </w:r>
          </w:p>
        </w:tc>
        <w:tc>
          <w:tcPr>
            <w:tcW w:w="1096" w:type="dxa"/>
          </w:tcPr>
          <w:p w:rsidR="00E460AF" w:rsidRPr="00E06A2F" w:rsidRDefault="00FD17BB" w:rsidP="00415262">
            <w:pPr>
              <w:jc w:val="center"/>
            </w:pPr>
            <w:r>
              <w:rPr>
                <w:sz w:val="22"/>
              </w:rPr>
              <w:t>2</w:t>
            </w:r>
            <w:r w:rsidR="00F8246A">
              <w:rPr>
                <w:sz w:val="22"/>
              </w:rPr>
              <w:t>40</w:t>
            </w:r>
          </w:p>
        </w:tc>
        <w:tc>
          <w:tcPr>
            <w:tcW w:w="1788" w:type="dxa"/>
          </w:tcPr>
          <w:p w:rsidR="00E460AF" w:rsidRPr="00E06A2F" w:rsidRDefault="00FD17BB" w:rsidP="00415262">
            <w:pPr>
              <w:jc w:val="center"/>
            </w:pPr>
            <w:r>
              <w:rPr>
                <w:sz w:val="22"/>
              </w:rPr>
              <w:t>2</w:t>
            </w:r>
            <w:r w:rsidR="0003018B">
              <w:rPr>
                <w:sz w:val="22"/>
              </w:rPr>
              <w:t>40</w:t>
            </w:r>
          </w:p>
        </w:tc>
      </w:tr>
      <w:tr w:rsidR="00E460AF" w:rsidTr="00CF3457">
        <w:trPr>
          <w:cantSplit/>
          <w:trHeight w:val="741"/>
        </w:trPr>
        <w:tc>
          <w:tcPr>
            <w:tcW w:w="2160" w:type="dxa"/>
          </w:tcPr>
          <w:p w:rsidR="00E460AF" w:rsidRDefault="00E460AF" w:rsidP="00415262">
            <w:pPr>
              <w:jc w:val="center"/>
            </w:pPr>
          </w:p>
        </w:tc>
        <w:tc>
          <w:tcPr>
            <w:tcW w:w="1550" w:type="dxa"/>
          </w:tcPr>
          <w:p w:rsidR="00E460AF" w:rsidRDefault="00E460AF" w:rsidP="00415262">
            <w:pPr>
              <w:jc w:val="center"/>
            </w:pPr>
            <w:r>
              <w:rPr>
                <w:sz w:val="22"/>
              </w:rPr>
              <w:t>Организация и проведение   культурно-досуговых мероприятий</w:t>
            </w:r>
          </w:p>
        </w:tc>
        <w:tc>
          <w:tcPr>
            <w:tcW w:w="1018" w:type="dxa"/>
            <w:gridSpan w:val="2"/>
          </w:tcPr>
          <w:p w:rsidR="00E460AF" w:rsidRDefault="00E460AF" w:rsidP="00415262">
            <w:pPr>
              <w:jc w:val="center"/>
            </w:pPr>
            <w:r>
              <w:rPr>
                <w:sz w:val="22"/>
              </w:rPr>
              <w:t>Ед.</w:t>
            </w:r>
          </w:p>
        </w:tc>
        <w:tc>
          <w:tcPr>
            <w:tcW w:w="708" w:type="dxa"/>
          </w:tcPr>
          <w:p w:rsidR="00E460AF" w:rsidRDefault="00F8246A" w:rsidP="00FD17BB">
            <w:pPr>
              <w:jc w:val="center"/>
            </w:pPr>
            <w:r>
              <w:rPr>
                <w:sz w:val="22"/>
              </w:rPr>
              <w:t>44</w:t>
            </w:r>
            <w:r w:rsidR="0003018B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E460AF" w:rsidRDefault="0003018B" w:rsidP="00415262">
            <w:pPr>
              <w:jc w:val="center"/>
            </w:pPr>
            <w:r>
              <w:rPr>
                <w:sz w:val="22"/>
              </w:rPr>
              <w:t>4</w:t>
            </w:r>
            <w:r w:rsidR="00F8246A">
              <w:rPr>
                <w:sz w:val="22"/>
              </w:rPr>
              <w:t>73</w:t>
            </w:r>
          </w:p>
        </w:tc>
        <w:tc>
          <w:tcPr>
            <w:tcW w:w="1087" w:type="dxa"/>
          </w:tcPr>
          <w:p w:rsidR="00E460AF" w:rsidRDefault="00F8246A" w:rsidP="00415262">
            <w:pPr>
              <w:jc w:val="center"/>
            </w:pPr>
            <w:r>
              <w:rPr>
                <w:sz w:val="22"/>
              </w:rPr>
              <w:t>149</w:t>
            </w:r>
          </w:p>
        </w:tc>
        <w:tc>
          <w:tcPr>
            <w:tcW w:w="1158" w:type="dxa"/>
          </w:tcPr>
          <w:p w:rsidR="00E460AF" w:rsidRDefault="00672330" w:rsidP="00415262">
            <w:pPr>
              <w:jc w:val="center"/>
            </w:pPr>
            <w:r>
              <w:rPr>
                <w:sz w:val="22"/>
              </w:rPr>
              <w:t>4</w:t>
            </w:r>
            <w:r w:rsidR="0003018B">
              <w:rPr>
                <w:sz w:val="22"/>
              </w:rPr>
              <w:t>64</w:t>
            </w:r>
          </w:p>
        </w:tc>
        <w:tc>
          <w:tcPr>
            <w:tcW w:w="1620" w:type="dxa"/>
          </w:tcPr>
          <w:p w:rsidR="00672330" w:rsidRDefault="00F8246A" w:rsidP="00415262">
            <w:pPr>
              <w:jc w:val="center"/>
            </w:pPr>
            <w:r>
              <w:rPr>
                <w:sz w:val="22"/>
              </w:rPr>
              <w:t>432</w:t>
            </w:r>
          </w:p>
        </w:tc>
        <w:tc>
          <w:tcPr>
            <w:tcW w:w="1604" w:type="dxa"/>
          </w:tcPr>
          <w:p w:rsidR="00E460AF" w:rsidRDefault="00FD17BB" w:rsidP="00415262">
            <w:pPr>
              <w:jc w:val="center"/>
            </w:pPr>
            <w:r>
              <w:rPr>
                <w:sz w:val="22"/>
              </w:rPr>
              <w:t>4</w:t>
            </w:r>
            <w:r w:rsidR="00F8246A">
              <w:rPr>
                <w:sz w:val="22"/>
              </w:rPr>
              <w:t>70</w:t>
            </w:r>
          </w:p>
        </w:tc>
        <w:tc>
          <w:tcPr>
            <w:tcW w:w="1096" w:type="dxa"/>
          </w:tcPr>
          <w:p w:rsidR="00E460AF" w:rsidRDefault="00FD17BB" w:rsidP="00415262">
            <w:pPr>
              <w:jc w:val="center"/>
            </w:pPr>
            <w:r>
              <w:rPr>
                <w:sz w:val="22"/>
              </w:rPr>
              <w:t>4</w:t>
            </w:r>
            <w:r w:rsidR="0003018B">
              <w:rPr>
                <w:sz w:val="22"/>
              </w:rPr>
              <w:t>70</w:t>
            </w:r>
          </w:p>
        </w:tc>
        <w:tc>
          <w:tcPr>
            <w:tcW w:w="1788" w:type="dxa"/>
          </w:tcPr>
          <w:p w:rsidR="00E460AF" w:rsidRDefault="00FD17BB" w:rsidP="00415262">
            <w:pPr>
              <w:jc w:val="center"/>
            </w:pPr>
            <w:r>
              <w:rPr>
                <w:sz w:val="22"/>
              </w:rPr>
              <w:t>4</w:t>
            </w:r>
            <w:r w:rsidR="0003018B">
              <w:rPr>
                <w:sz w:val="22"/>
              </w:rPr>
              <w:t>70</w:t>
            </w:r>
          </w:p>
        </w:tc>
      </w:tr>
    </w:tbl>
    <w:p w:rsidR="00E460AF" w:rsidRDefault="00E460AF" w:rsidP="00E460A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460AF" w:rsidRDefault="00E460AF" w:rsidP="00E460AF">
      <w:pPr>
        <w:rPr>
          <w:sz w:val="22"/>
        </w:rPr>
      </w:pPr>
    </w:p>
    <w:p w:rsidR="00E460AF" w:rsidRDefault="00E460AF" w:rsidP="00E460AF">
      <w:pPr>
        <w:rPr>
          <w:sz w:val="22"/>
        </w:rPr>
      </w:pPr>
    </w:p>
    <w:sectPr w:rsidR="00E460AF" w:rsidSect="001A4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82C31"/>
    <w:multiLevelType w:val="hybridMultilevel"/>
    <w:tmpl w:val="12803166"/>
    <w:lvl w:ilvl="0" w:tplc="04190001">
      <w:start w:val="1"/>
      <w:numFmt w:val="bullet"/>
      <w:lvlText w:val=""/>
      <w:lvlJc w:val="left"/>
      <w:pPr>
        <w:tabs>
          <w:tab w:val="num" w:pos="1487"/>
        </w:tabs>
        <w:ind w:left="14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60AF"/>
    <w:rsid w:val="0003018B"/>
    <w:rsid w:val="00131482"/>
    <w:rsid w:val="001A4C8B"/>
    <w:rsid w:val="003E5203"/>
    <w:rsid w:val="004B5823"/>
    <w:rsid w:val="00650F09"/>
    <w:rsid w:val="00672330"/>
    <w:rsid w:val="006E5F5A"/>
    <w:rsid w:val="00956F35"/>
    <w:rsid w:val="00A555EF"/>
    <w:rsid w:val="00AA3E8D"/>
    <w:rsid w:val="00B0021D"/>
    <w:rsid w:val="00B00407"/>
    <w:rsid w:val="00B071CA"/>
    <w:rsid w:val="00BC3445"/>
    <w:rsid w:val="00CC0BA7"/>
    <w:rsid w:val="00CF3457"/>
    <w:rsid w:val="00CF5823"/>
    <w:rsid w:val="00D842E3"/>
    <w:rsid w:val="00E460AF"/>
    <w:rsid w:val="00EA019F"/>
    <w:rsid w:val="00F27B40"/>
    <w:rsid w:val="00F8246A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71AE3E-1892-4F98-AC56-E65B6E2B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0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60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60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E460AF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460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cp:lastPrinted>2021-12-20T09:01:00Z</cp:lastPrinted>
  <dcterms:created xsi:type="dcterms:W3CDTF">2018-12-14T06:52:00Z</dcterms:created>
  <dcterms:modified xsi:type="dcterms:W3CDTF">2021-12-22T12:20:00Z</dcterms:modified>
</cp:coreProperties>
</file>